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A1033">
        <w:rPr>
          <w:sz w:val="22"/>
        </w:rPr>
        <w:t>CHAPTER 110</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A1033">
        <w:rPr>
          <w:sz w:val="22"/>
        </w:rPr>
        <w:t>Department of Labor, Licensing and Regulation— State Board of Social Work Examiners</w:t>
      </w: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8F5DA9" w:rsidRPr="004A1033">
        <w:rPr>
          <w:sz w:val="22"/>
        </w:rPr>
        <w:t xml:space="preserve">: 1976 Code </w:t>
      </w:r>
      <w:r w:rsidRPr="004A1033">
        <w:rPr>
          <w:sz w:val="22"/>
        </w:rPr>
        <w:t xml:space="preserve">Section </w:t>
      </w:r>
      <w:r w:rsidR="008F5DA9" w:rsidRPr="004A1033">
        <w:rPr>
          <w:sz w:val="22"/>
        </w:rPr>
        <w:t>40</w:t>
      </w:r>
      <w:r>
        <w:rPr>
          <w:sz w:val="22"/>
        </w:rPr>
        <w:t>-</w:t>
      </w:r>
      <w:r w:rsidR="008F5DA9" w:rsidRPr="004A1033">
        <w:rPr>
          <w:sz w:val="22"/>
        </w:rPr>
        <w:t>63</w:t>
      </w:r>
      <w:r>
        <w:rPr>
          <w:sz w:val="22"/>
        </w:rPr>
        <w:t>-</w:t>
      </w:r>
      <w:r w:rsidR="008F5DA9" w:rsidRPr="004A1033">
        <w:rPr>
          <w:sz w:val="22"/>
        </w:rPr>
        <w:t>10)</w:t>
      </w: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8F5DA9" w:rsidRPr="004A1033">
        <w:rPr>
          <w:sz w:val="22"/>
        </w:rPr>
        <w:t xml:space="preserve"> 1</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A1033">
        <w:rPr>
          <w:sz w:val="22"/>
        </w:rPr>
        <w:t>Continuing Education</w:t>
      </w:r>
      <w:bookmarkStart w:id="0" w:name="_GoBack"/>
      <w:bookmarkEnd w:id="0"/>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110-</w:t>
      </w:r>
      <w:r w:rsidR="008F5DA9" w:rsidRPr="004A1033">
        <w:rPr>
          <w:sz w:val="22"/>
        </w:rPr>
        <w:t>1. Continuing Education Requirements.</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A. The Board recognizes that social work is a practice of a profession which must conform to the public</w:t>
      </w:r>
      <w:r w:rsidR="004A1033" w:rsidRPr="004A1033">
        <w:rPr>
          <w:sz w:val="22"/>
        </w:rPr>
        <w:t>’</w:t>
      </w:r>
      <w:r w:rsidRPr="004A1033">
        <w:rPr>
          <w:sz w:val="22"/>
        </w:rPr>
        <w:t>s expectation of professional competency. It further recognizes that structured programs of continuing education will provide licensees with opportunities for maintaining and improving competency as well as the satisfaction of new professional development.</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B. As a pre</w:t>
      </w:r>
      <w:r w:rsidR="004A1033">
        <w:rPr>
          <w:sz w:val="22"/>
        </w:rPr>
        <w:t>-</w:t>
      </w:r>
      <w:r w:rsidRPr="004A1033">
        <w:rPr>
          <w:sz w:val="22"/>
        </w:rPr>
        <w:t>requisite for biennial renewal of the practitioner</w:t>
      </w:r>
      <w:r w:rsidR="004A1033" w:rsidRPr="004A1033">
        <w:rPr>
          <w:sz w:val="22"/>
        </w:rPr>
        <w:t>’</w:t>
      </w:r>
      <w:r w:rsidRPr="004A1033">
        <w:rPr>
          <w:sz w:val="22"/>
        </w:rPr>
        <w:t>s license, the licensee must complete a minimum of 40 contact hours of accepted professional continuing education per renewal period. This requirement becomes effective during the one</w:t>
      </w:r>
      <w:r w:rsidR="004A1033">
        <w:rPr>
          <w:sz w:val="22"/>
        </w:rPr>
        <w:t>-</w:t>
      </w:r>
      <w:r w:rsidRPr="004A1033">
        <w:rPr>
          <w:sz w:val="22"/>
        </w:rPr>
        <w:t>year period following the January 1, 1990, license renewal date, and during each year thereafter.</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C. The general guidelines for completing forty (40) contact hours of instruction are:</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r>
      <w:r w:rsidRPr="004A1033">
        <w:rPr>
          <w:sz w:val="22"/>
        </w:rPr>
        <w:tab/>
        <w:t>(1) Accepted instruction will be those courses, conferences, seminars, etc., as approved by the Board pursuant to subsection D below.</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r>
      <w:r w:rsidRPr="004A1033">
        <w:rPr>
          <w:sz w:val="22"/>
        </w:rPr>
        <w:tab/>
        <w:t>(2) Only student class hours or the equivalent will be counted as credit.</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r>
      <w:r w:rsidRPr="004A1033">
        <w:rPr>
          <w:sz w:val="22"/>
        </w:rPr>
        <w:tab/>
        <w:t>(3) Services, in hours, as a lecturer or discussion leader may be counted to the extent that they contribute to the maintenance and development of a licensee</w:t>
      </w:r>
      <w:r w:rsidR="004A1033" w:rsidRPr="004A1033">
        <w:rPr>
          <w:sz w:val="22"/>
        </w:rPr>
        <w:t>’</w:t>
      </w:r>
      <w:r w:rsidRPr="004A1033">
        <w:rPr>
          <w:sz w:val="22"/>
        </w:rPr>
        <w:t>s professional competence.</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r>
      <w:r w:rsidRPr="004A1033">
        <w:rPr>
          <w:sz w:val="22"/>
        </w:rPr>
        <w:tab/>
        <w:t>(4) Except in unusual circumstances, credits will not be given for repeating an instructional course.</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D. Approval for continuing education credit:</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r>
      <w:r w:rsidRPr="004A1033">
        <w:rPr>
          <w:sz w:val="22"/>
        </w:rPr>
        <w:tab/>
        <w:t>(1) Approval for continuing education credit shall be provided by persons designated by the Board upon guidelines and standards established by the Board pursuant to these Regulations.</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r>
      <w:r w:rsidRPr="004A1033">
        <w:rPr>
          <w:sz w:val="22"/>
        </w:rPr>
        <w:tab/>
        <w:t>(2) Application for continuing education credit approval shall be in the manner and form designated by the Board.</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r>
      <w:r w:rsidRPr="004A1033">
        <w:rPr>
          <w:sz w:val="22"/>
        </w:rPr>
        <w:tab/>
        <w:t>(3) Application for approval shall be processed at times, and in the manner, designated by the Board up to the date of submission of the continuing education report. The risk of disapproval shall be borne by the sponsor or applicant for continuing education credit.</w:t>
      </w: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F5DA9" w:rsidRPr="004A1033">
        <w:rPr>
          <w:sz w:val="22"/>
        </w:rPr>
        <w:t>: Amended by State Register Volume 36, Issue No. 6, eff June 22, 2012.</w:t>
      </w: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110-</w:t>
      </w:r>
      <w:r w:rsidR="008F5DA9" w:rsidRPr="004A1033">
        <w:rPr>
          <w:sz w:val="22"/>
        </w:rPr>
        <w:t>2. Repealed.</w:t>
      </w: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F5DA9" w:rsidRPr="004A1033">
        <w:rPr>
          <w:sz w:val="22"/>
        </w:rPr>
        <w:t>: Former Regulation, titled Continuing Education Advisory Committee, repealed by SCSR43</w:t>
      </w:r>
      <w:r>
        <w:rPr>
          <w:sz w:val="22"/>
        </w:rPr>
        <w:t>-</w:t>
      </w:r>
      <w:r w:rsidR="008F5DA9" w:rsidRPr="004A1033">
        <w:rPr>
          <w:sz w:val="22"/>
        </w:rPr>
        <w:t>5 Doc. No. 4864, eff May 24, 2019.</w:t>
      </w: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110-</w:t>
      </w:r>
      <w:r w:rsidR="008F5DA9" w:rsidRPr="004A1033">
        <w:rPr>
          <w:sz w:val="22"/>
        </w:rPr>
        <w:t>10. Fees.</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The Board sets, determines, establishes, prescribes, and levies fees for license applications, examinations (which do not include any fees paid to any organization other than the Board administering any examination required by the Board), temporary licenses, license renewals, license reinstatements, annual licenses, and review of continuing education submissions in such amounts as are estimated to generate the minimum percentage of the anticipated appropriation or expenditures of the Board for the coming fiscal year required by applicable South Carolina law, including appropriations acts.</w:t>
      </w: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F5DA9" w:rsidRPr="004A1033">
        <w:rPr>
          <w:sz w:val="22"/>
        </w:rPr>
        <w:t>: Amended by State Register Volume 36, Issue No. 6, eff June 22, 2012.</w:t>
      </w: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110-</w:t>
      </w:r>
      <w:r w:rsidR="008F5DA9" w:rsidRPr="004A1033">
        <w:rPr>
          <w:sz w:val="22"/>
        </w:rPr>
        <w:t>20. Principles of Professional Ethics</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lastRenderedPageBreak/>
        <w:tab/>
        <w:t>1. The social worker shall not exploit relationships with clients for personal or business advantages, other than the proper, reasonable and agreed upon compensation for his services to the client.</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2. The social worker shall not solicit the clients of his employing agency for private practice.</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3. The social worker will inform clients of any possible or apparent conflict of interest and shall terminate service to clients, and professional relationships with them, when such service and relationships are no longer required or in which a conflict of interest does arise, in such a manner which does not endanger the client</w:t>
      </w:r>
      <w:r w:rsidR="004A1033" w:rsidRPr="004A1033">
        <w:rPr>
          <w:sz w:val="22"/>
        </w:rPr>
        <w:t>’</w:t>
      </w:r>
      <w:r w:rsidRPr="004A1033">
        <w:rPr>
          <w:sz w:val="22"/>
        </w:rPr>
        <w:t>s life.</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4. A social worker shall not engage in any sexual act with a client or with a person who has been a client to whom services were provided within the past three years.</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5. A social worker shall not exploit his professional relationships with clients (or former clients), supervisor, students, employees, or research participants, sexually or otherwise. A social worker does not engage in sexual harassment. Sexual harassment is defined as deliberate or repeated comments, gestures, or physical contacts of a sexual nature that are unwanted by the recipient.</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6. The client/social worker relationship shall be presumed to continue to exist for a period of six months after the last provision of services except where circumstances such as, but not limited to, selection of a new therapist shows otherwise.</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7. A social worker will give precedence to his professional responsibility over his financial interests.</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8. A social worker shall not commit fraud and shall not represent that he performed services which he did not perform.</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9. A social worker will not divide a fee or accept or give anything of value for receiving or making a referral.</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10. A social worker should provide clients with accurate and complete information regarding the extent and nature of the services available to them.</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11. A social worker shall not participate in or condone fraud or any other misrepresentation. A social worker shall not misrepresent professional qualifications, education, experience, affiliations, or services performed.</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12. In connection with his work as a social worker, a social worker shall not practice, condone, facilitate or collaborate with any form of discrimination on the basis of race, color, sex, sexual orientation, age, religion, national origin, marital status, political belief, mental or physical handicap, or any other preference or personal characteristic, condition or status.</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13. A social worker shall not repeatedly fail to keep scheduled appointments.</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14. A social worker who anticipates the termination or interruption of service to clients shall notify such clients promptly and seek the transfer, referral, or continuation of service in relation to the clients</w:t>
      </w:r>
      <w:r w:rsidR="004A1033" w:rsidRPr="004A1033">
        <w:rPr>
          <w:sz w:val="22"/>
        </w:rPr>
        <w:t>’</w:t>
      </w:r>
      <w:r w:rsidRPr="004A1033">
        <w:rPr>
          <w:sz w:val="22"/>
        </w:rPr>
        <w:t xml:space="preserve"> needs and preferences.</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15. A social worker shall respect the privacy of clients and hold in confidence all information obtained in the course of professional service except for compelling reasons. Compelling reasons shall include, but are not limited to:</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r>
      <w:r w:rsidRPr="004A1033">
        <w:rPr>
          <w:sz w:val="22"/>
        </w:rPr>
        <w:tab/>
        <w:t>a. Consultation with another professional on behalf of the client;</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r>
      <w:r w:rsidRPr="004A1033">
        <w:rPr>
          <w:sz w:val="22"/>
        </w:rPr>
        <w:tab/>
        <w:t>b. Duty to warn;</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r>
      <w:r w:rsidRPr="004A1033">
        <w:rPr>
          <w:sz w:val="22"/>
        </w:rPr>
        <w:tab/>
        <w:t>c. Child abuse and sexual molestation;</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r>
      <w:r w:rsidRPr="004A1033">
        <w:rPr>
          <w:sz w:val="22"/>
        </w:rPr>
        <w:tab/>
        <w:t>d. Statutory requirements.</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16. The social worker shall obtain informed consent of clients before taping, recording, or permitting third party observation of their activities.</w:t>
      </w:r>
    </w:p>
    <w:p w:rsidR="004A1033" w:rsidRDefault="008F5DA9"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A1033">
        <w:rPr>
          <w:sz w:val="22"/>
        </w:rPr>
        <w:tab/>
        <w:t>17. The social worker shall report to the appropriate authorities any incident, of which he has personal knowledge, of unethical social practice by any individual or organization.</w:t>
      </w: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A1033" w:rsidRDefault="004A1033"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8F5DA9" w:rsidRPr="004A1033">
        <w:rPr>
          <w:sz w:val="22"/>
        </w:rPr>
        <w:t>: Amended by State Register Volume 36, Issue No. 6, eff June 22, 2012.</w:t>
      </w:r>
    </w:p>
    <w:p w:rsidR="00D20F68" w:rsidRPr="004A1033" w:rsidRDefault="00D20F68" w:rsidP="004A1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D20F68" w:rsidRPr="004A1033" w:rsidSect="004A103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33" w:rsidRDefault="004A1033" w:rsidP="004A1033">
      <w:r>
        <w:separator/>
      </w:r>
    </w:p>
  </w:endnote>
  <w:endnote w:type="continuationSeparator" w:id="0">
    <w:p w:rsidR="004A1033" w:rsidRDefault="004A1033" w:rsidP="004A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33" w:rsidRPr="004A1033" w:rsidRDefault="004A1033" w:rsidP="004A1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33" w:rsidRPr="004A1033" w:rsidRDefault="004A1033" w:rsidP="004A1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33" w:rsidRPr="004A1033" w:rsidRDefault="004A1033" w:rsidP="004A1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33" w:rsidRDefault="004A1033" w:rsidP="004A1033">
      <w:r>
        <w:separator/>
      </w:r>
    </w:p>
  </w:footnote>
  <w:footnote w:type="continuationSeparator" w:id="0">
    <w:p w:rsidR="004A1033" w:rsidRDefault="004A1033" w:rsidP="004A1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33" w:rsidRPr="004A1033" w:rsidRDefault="004A1033" w:rsidP="004A1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33" w:rsidRPr="004A1033" w:rsidRDefault="004A1033" w:rsidP="004A1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33" w:rsidRPr="004A1033" w:rsidRDefault="004A1033" w:rsidP="004A10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A9"/>
    <w:rsid w:val="004A1033"/>
    <w:rsid w:val="008F5DA9"/>
    <w:rsid w:val="00D2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CD7724-C2A2-480C-B0BE-261D37A1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4A1033"/>
    <w:pPr>
      <w:tabs>
        <w:tab w:val="center" w:pos="4680"/>
        <w:tab w:val="right" w:pos="9360"/>
      </w:tabs>
    </w:pPr>
  </w:style>
  <w:style w:type="character" w:customStyle="1" w:styleId="HeaderChar">
    <w:name w:val="Header Char"/>
    <w:basedOn w:val="DefaultParagraphFont"/>
    <w:link w:val="Header"/>
    <w:uiPriority w:val="99"/>
    <w:rsid w:val="004A1033"/>
    <w:rPr>
      <w:rFonts w:eastAsiaTheme="minorEastAsia"/>
      <w:sz w:val="24"/>
      <w:szCs w:val="24"/>
    </w:rPr>
  </w:style>
  <w:style w:type="paragraph" w:styleId="Footer">
    <w:name w:val="footer"/>
    <w:basedOn w:val="Normal"/>
    <w:link w:val="FooterChar"/>
    <w:uiPriority w:val="99"/>
    <w:unhideWhenUsed/>
    <w:rsid w:val="004A1033"/>
    <w:pPr>
      <w:tabs>
        <w:tab w:val="center" w:pos="4680"/>
        <w:tab w:val="right" w:pos="9360"/>
      </w:tabs>
    </w:pPr>
  </w:style>
  <w:style w:type="character" w:customStyle="1" w:styleId="FooterChar">
    <w:name w:val="Footer Char"/>
    <w:basedOn w:val="DefaultParagraphFont"/>
    <w:link w:val="Footer"/>
    <w:uiPriority w:val="99"/>
    <w:rsid w:val="004A103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3CEC99B.dotm</Template>
  <TotalTime>0</TotalTime>
  <Pages>2</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2019-09-18T16:20:00Z</dcterms:created>
  <dcterms:modified xsi:type="dcterms:W3CDTF">2019-09-18T16:20:00Z</dcterms:modified>
</cp:coreProperties>
</file>